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6"/>
          <w:szCs w:val="26"/>
          <w:rtl w:val="0"/>
        </w:rPr>
        <w:t xml:space="preserve">Course Outline: Grade 12 Literacy Course, OLC 4OI</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 </w:t>
      </w:r>
    </w:p>
    <w:tbl>
      <w:tblPr>
        <w:tblStyle w:val="Table1"/>
        <w:bidi w:val="0"/>
        <w:tblW w:w="9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0"/>
        <w:gridCol w:w="3555"/>
        <w:gridCol w:w="3285"/>
        <w:tblGridChange w:id="0">
          <w:tblGrid>
            <w:gridCol w:w="2500"/>
            <w:gridCol w:w="3555"/>
            <w:gridCol w:w="3285"/>
          </w:tblGrid>
        </w:tblGridChange>
      </w:tblGrid>
      <w:tr>
        <w:tc>
          <w:tcPr>
            <w:tcMar>
              <w:top w:w="100.0" w:type="dxa"/>
              <w:left w:w="100.0" w:type="dxa"/>
              <w:bottom w:w="100.0" w:type="dxa"/>
              <w:right w:w="100.0" w:type="dxa"/>
            </w:tcMar>
          </w:tcPr>
          <w:p w:rsidR="00000000" w:rsidDel="00000000" w:rsidP="00000000" w:rsidRDefault="00000000" w:rsidRPr="00000000">
            <w:pPr>
              <w:widowControl w:val="0"/>
              <w:ind w:left="0" w:firstLine="0"/>
              <w:contextualSpacing w:val="0"/>
            </w:pPr>
            <w:r w:rsidDel="00000000" w:rsidR="00000000" w:rsidRPr="00000000">
              <w:rPr>
                <w:rtl w:val="0"/>
              </w:rPr>
              <w:t xml:space="preserve">Teacher:</w:t>
            </w:r>
          </w:p>
          <w:p w:rsidR="00000000" w:rsidDel="00000000" w:rsidP="00000000" w:rsidRDefault="00000000" w:rsidRPr="00000000">
            <w:pPr>
              <w:widowControl w:val="0"/>
              <w:ind w:left="0" w:firstLine="0"/>
              <w:contextualSpacing w:val="0"/>
            </w:pPr>
            <w:r w:rsidDel="00000000" w:rsidR="00000000" w:rsidRPr="00000000">
              <w:rPr>
                <w:rtl w:val="0"/>
              </w:rPr>
              <w:t xml:space="preserve">Karen Myers</w:t>
            </w:r>
          </w:p>
        </w:tc>
        <w:tc>
          <w:tcPr>
            <w:tcMar>
              <w:top w:w="100.0" w:type="dxa"/>
              <w:left w:w="100.0" w:type="dxa"/>
              <w:bottom w:w="100.0" w:type="dxa"/>
              <w:right w:w="100.0" w:type="dxa"/>
            </w:tcMar>
          </w:tcPr>
          <w:p w:rsidR="00000000" w:rsidDel="00000000" w:rsidP="00000000" w:rsidRDefault="00000000" w:rsidRPr="00000000">
            <w:pPr>
              <w:widowControl w:val="0"/>
              <w:ind w:left="0" w:firstLine="0"/>
              <w:contextualSpacing w:val="0"/>
            </w:pPr>
            <w:r w:rsidDel="00000000" w:rsidR="00000000" w:rsidRPr="00000000">
              <w:rPr>
                <w:rtl w:val="0"/>
              </w:rPr>
              <w:t xml:space="preserve">Teacher Contact Information: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CHCI: (519) 578-8330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ind w:left="100" w:firstLine="0"/>
              <w:contextualSpacing w:val="0"/>
            </w:pPr>
            <w:r w:rsidDel="00000000" w:rsidR="00000000" w:rsidRPr="00000000">
              <w:rPr>
                <w:rtl w:val="0"/>
              </w:rPr>
              <w:t xml:space="preserve">Course/Teacher Website: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kmyersenglish.weebly.com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ind w:left="100" w:firstLine="0"/>
              <w:contextualSpacing w:val="0"/>
            </w:pPr>
            <w:r w:rsidDel="00000000" w:rsidR="00000000" w:rsidRPr="00000000">
              <w:rPr>
                <w:rtl w:val="0"/>
              </w:rPr>
              <w:t xml:space="preserve">Semester: </w:t>
            </w:r>
          </w:p>
          <w:p w:rsidR="00000000" w:rsidDel="00000000" w:rsidP="00000000" w:rsidRDefault="00000000" w:rsidRPr="00000000">
            <w:pPr>
              <w:widowControl w:val="0"/>
              <w:ind w:left="100" w:firstLine="0"/>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ind w:left="100" w:firstLine="0"/>
              <w:contextualSpacing w:val="0"/>
            </w:pPr>
            <w:r w:rsidDel="00000000" w:rsidR="00000000" w:rsidRPr="00000000">
              <w:rPr>
                <w:rtl w:val="0"/>
              </w:rPr>
              <w:t xml:space="preserve">Block:</w:t>
            </w:r>
          </w:p>
          <w:p w:rsidR="00000000" w:rsidDel="00000000" w:rsidP="00000000" w:rsidRDefault="00000000" w:rsidRPr="00000000">
            <w:pPr>
              <w:widowControl w:val="0"/>
              <w:ind w:left="100" w:firstLine="0"/>
              <w:contextualSpacing w:val="0"/>
            </w:pPr>
            <w:r w:rsidDel="00000000" w:rsidR="00000000" w:rsidRPr="00000000">
              <w:rPr>
                <w:rtl w:val="0"/>
              </w:rPr>
              <w:t xml:space="preserve">E</w:t>
            </w:r>
          </w:p>
        </w:tc>
        <w:tc>
          <w:tcPr>
            <w:tcMar>
              <w:top w:w="100.0" w:type="dxa"/>
              <w:left w:w="100.0" w:type="dxa"/>
              <w:bottom w:w="100.0" w:type="dxa"/>
              <w:right w:w="100.0" w:type="dxa"/>
            </w:tcMar>
          </w:tcPr>
          <w:p w:rsidR="00000000" w:rsidDel="00000000" w:rsidP="00000000" w:rsidRDefault="00000000" w:rsidRPr="00000000">
            <w:pPr>
              <w:widowControl w:val="0"/>
              <w:ind w:left="100" w:firstLine="0"/>
              <w:contextualSpacing w:val="0"/>
            </w:pPr>
            <w:r w:rsidDel="00000000" w:rsidR="00000000" w:rsidRPr="00000000">
              <w:rPr>
                <w:rtl w:val="0"/>
              </w:rPr>
              <w:t xml:space="preserve">Room:</w:t>
            </w:r>
          </w:p>
          <w:p w:rsidR="00000000" w:rsidDel="00000000" w:rsidP="00000000" w:rsidRDefault="00000000" w:rsidRPr="00000000">
            <w:pPr>
              <w:widowControl w:val="0"/>
              <w:ind w:left="100" w:firstLine="0"/>
              <w:contextualSpacing w:val="0"/>
            </w:pPr>
            <w:r w:rsidDel="00000000" w:rsidR="00000000" w:rsidRPr="00000000">
              <w:rPr>
                <w:rtl w:val="0"/>
              </w:rPr>
              <w:t xml:space="preserve">B318</w:t>
            </w:r>
          </w:p>
        </w:tc>
      </w:tr>
    </w:tbl>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b w:val="1"/>
          <w:rtl w:val="0"/>
        </w:rPr>
        <w:t xml:space="preserve">Course Description: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color w:val="231f20"/>
          <w:sz w:val="24"/>
          <w:szCs w:val="24"/>
          <w:rtl w:val="0"/>
        </w:rPr>
        <w:t xml:space="preserve">This course is designed to help students acquire and demonstrate the cross-curricular literacy skills that are evaluated by the Ontario Secondary School Literacy Test (OSSLT). Students who complete the course successfully will meet the provincial literacy requirement for graduation. Students will read a variety of informational, narrative, and graphic texts and will produce a variety of forms of writing, including summaries, information paragraphs, opinion pieces, and news reports. Students will also maintain and manage a portfolio containing a record of their reading experiences and samples of their writing.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Essential Learning: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045.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8400"/>
        <w:tblGridChange w:id="0">
          <w:tblGrid>
            <w:gridCol w:w="645"/>
            <w:gridCol w:w="84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a1718"/>
                <w:sz w:val="20"/>
                <w:szCs w:val="20"/>
                <w:rtl w:val="0"/>
              </w:rPr>
              <w:t xml:space="preserve">EL1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1"/>
              </w:numPr>
              <w:ind w:left="720" w:hanging="360"/>
              <w:contextualSpacing w:val="1"/>
              <w:rPr/>
            </w:pPr>
            <w:r w:rsidDel="00000000" w:rsidR="00000000" w:rsidRPr="00000000">
              <w:rPr>
                <w:sz w:val="20"/>
                <w:szCs w:val="20"/>
                <w:rtl w:val="0"/>
              </w:rPr>
              <w:t xml:space="preserve">demonstrate the ability to read and understand of the content and meaning of informational, narrative, and graphic texts using a variety of reading strategies</w:t>
            </w:r>
            <w:r w:rsidDel="00000000" w:rsidR="00000000" w:rsidRPr="00000000">
              <w:rPr>
                <w:rtl w:val="0"/>
              </w:rPr>
            </w:r>
          </w:p>
        </w:tc>
      </w:tr>
      <w:tr>
        <w:trPr>
          <w:trHeight w:val="68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a1718"/>
                <w:sz w:val="20"/>
                <w:szCs w:val="20"/>
                <w:rtl w:val="0"/>
              </w:rPr>
              <w:t xml:space="preserve">EL2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6"/>
              </w:numPr>
              <w:ind w:left="720" w:hanging="360"/>
              <w:contextualSpacing w:val="1"/>
              <w:rPr/>
            </w:pPr>
            <w:r w:rsidDel="00000000" w:rsidR="00000000" w:rsidRPr="00000000">
              <w:rPr>
                <w:sz w:val="20"/>
                <w:szCs w:val="20"/>
                <w:rtl w:val="0"/>
              </w:rPr>
              <w:t xml:space="preserve">demonstrate an understanding of the organizational structure and features of a variety of texts, including: informational, narrative, graphic</w:t>
            </w:r>
            <w:r w:rsidDel="00000000" w:rsidR="00000000" w:rsidRPr="00000000">
              <w:rPr>
                <w:rtl w:val="0"/>
              </w:rPr>
            </w:r>
          </w:p>
        </w:tc>
      </w:tr>
      <w:tr>
        <w:trPr>
          <w:trHeight w:val="6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a1718"/>
                <w:sz w:val="20"/>
                <w:szCs w:val="20"/>
                <w:rtl w:val="0"/>
              </w:rPr>
              <w:t xml:space="preserve">EL3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8"/>
              </w:numPr>
              <w:ind w:left="720" w:hanging="360"/>
              <w:contextualSpacing w:val="1"/>
              <w:rPr>
                <w:sz w:val="20"/>
                <w:szCs w:val="20"/>
              </w:rPr>
            </w:pPr>
            <w:r w:rsidDel="00000000" w:rsidR="00000000" w:rsidRPr="00000000">
              <w:rPr>
                <w:sz w:val="20"/>
                <w:szCs w:val="20"/>
                <w:rtl w:val="0"/>
              </w:rPr>
              <w:t xml:space="preserve">demonstrate the ability to respond to and connect with a variety of texts, including: informational, narrative and graphic</w:t>
            </w:r>
          </w:p>
        </w:tc>
      </w:tr>
      <w:tr>
        <w:trPr>
          <w:trHeight w:val="8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a1718"/>
                <w:sz w:val="20"/>
                <w:szCs w:val="20"/>
                <w:rtl w:val="0"/>
              </w:rPr>
              <w:t xml:space="preserve">EL4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rPr/>
            </w:pPr>
            <w:r w:rsidDel="00000000" w:rsidR="00000000" w:rsidRPr="00000000">
              <w:rPr>
                <w:color w:val="1a1718"/>
                <w:sz w:val="20"/>
                <w:szCs w:val="20"/>
                <w:rtl w:val="0"/>
              </w:rPr>
              <w:t xml:space="preserve">use a variety of strategies to understand unfamiliar and specialized words and expressions in informational, narrative, and graphic texts</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a1718"/>
                <w:sz w:val="20"/>
                <w:szCs w:val="20"/>
                <w:rtl w:val="0"/>
              </w:rPr>
              <w:t xml:space="preserve">EL5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720" w:hanging="360"/>
              <w:contextualSpacing w:val="1"/>
              <w:rPr/>
            </w:pPr>
            <w:r w:rsidDel="00000000" w:rsidR="00000000" w:rsidRPr="00000000">
              <w:rPr>
                <w:color w:val="1a1718"/>
                <w:sz w:val="20"/>
                <w:szCs w:val="20"/>
                <w:rtl w:val="0"/>
              </w:rPr>
              <w:t xml:space="preserve">demonstrate the ability to use the writing process by generating and organizing ideas and producing ﬁrst drafts, revised drafts, and ﬁnal polished pieces to complete a variety of writing tasks</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a1718"/>
                <w:sz w:val="20"/>
                <w:szCs w:val="20"/>
                <w:rtl w:val="0"/>
              </w:rPr>
              <w:t xml:space="preserve">EL6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4"/>
              </w:numPr>
              <w:spacing w:line="240" w:lineRule="auto"/>
              <w:ind w:left="720" w:hanging="360"/>
              <w:contextualSpacing w:val="1"/>
              <w:rPr/>
            </w:pPr>
            <w:r w:rsidDel="00000000" w:rsidR="00000000" w:rsidRPr="00000000">
              <w:rPr>
                <w:color w:val="1a1718"/>
                <w:sz w:val="20"/>
                <w:szCs w:val="20"/>
                <w:rtl w:val="0"/>
              </w:rPr>
              <w:t xml:space="preserve">use knowledge of writing forms, and of the connections between form, audience, and purpose, to write: paragraphs, essays, news reports, summaries and journals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1a1718"/>
                <w:sz w:val="20"/>
                <w:szCs w:val="20"/>
                <w:rtl w:val="0"/>
              </w:rPr>
              <w:t xml:space="preserve">EL7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demonstrate the ability to identify strengths, weaknesses, and strategies for improvement in both reading and writing</w:t>
            </w: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b w:val="1"/>
          <w:sz w:val="20"/>
          <w:szCs w:val="20"/>
          <w:u w:val="single"/>
          <w:rtl w:val="0"/>
        </w:rPr>
        <w:t xml:space="preserve">Body of Evidence of Essential Learning</w:t>
      </w:r>
      <w:r w:rsidDel="00000000" w:rsidR="00000000" w:rsidRPr="00000000">
        <w:rPr>
          <w:b w:val="1"/>
          <w:sz w:val="20"/>
          <w:szCs w:val="20"/>
          <w:rtl w:val="0"/>
        </w:rPr>
        <w:t xml:space="preserve">:  Missing evidence of learning may result in loss of credit. To achieve a credit in this course, the following must be completed. Seventy percent (70%) of the final mark will come from term work and thirty percent (30%) will come from final evaluations.  Student work will be evaluated using a balance of the Ministry’s four achievement chart categories:  knowledge &amp; understanding, thinking &amp; inquiry, application and communication.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3"/>
        <w:bidi w:val="0"/>
        <w:tblW w:w="877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75"/>
        <w:tblGridChange w:id="0">
          <w:tblGrid>
            <w:gridCol w:w="8775"/>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numPr>
                <w:ilvl w:val="0"/>
                <w:numId w:val="7"/>
              </w:numPr>
              <w:ind w:left="720" w:hanging="360"/>
              <w:contextualSpacing w:val="1"/>
              <w:rPr>
                <w:b w:val="1"/>
                <w:sz w:val="20"/>
                <w:szCs w:val="20"/>
              </w:rPr>
            </w:pPr>
            <w:r w:rsidDel="00000000" w:rsidR="00000000" w:rsidRPr="00000000">
              <w:rPr>
                <w:b w:val="1"/>
                <w:sz w:val="20"/>
                <w:szCs w:val="20"/>
                <w:rtl w:val="0"/>
              </w:rPr>
              <w:t xml:space="preserve">Demonstration of the use of a variety of pre-reading strategies</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numPr>
                <w:ilvl w:val="0"/>
                <w:numId w:val="15"/>
              </w:numPr>
              <w:spacing w:line="240" w:lineRule="auto"/>
              <w:ind w:left="720" w:hanging="360"/>
              <w:contextualSpacing w:val="1"/>
              <w:rPr>
                <w:b w:val="1"/>
                <w:sz w:val="20"/>
                <w:szCs w:val="20"/>
              </w:rPr>
            </w:pPr>
            <w:r w:rsidDel="00000000" w:rsidR="00000000" w:rsidRPr="00000000">
              <w:rPr>
                <w:b w:val="1"/>
                <w:sz w:val="20"/>
                <w:szCs w:val="20"/>
                <w:rtl w:val="0"/>
              </w:rPr>
              <w:t xml:space="preserve">Demonstration of reading comprehension of a variety of text, including: informational, narrative and graphic </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numPr>
                <w:ilvl w:val="0"/>
                <w:numId w:val="9"/>
              </w:numPr>
              <w:spacing w:line="240" w:lineRule="auto"/>
              <w:ind w:left="720" w:hanging="360"/>
              <w:contextualSpacing w:val="1"/>
              <w:rPr>
                <w:b w:val="1"/>
                <w:sz w:val="20"/>
                <w:szCs w:val="20"/>
              </w:rPr>
            </w:pPr>
            <w:r w:rsidDel="00000000" w:rsidR="00000000" w:rsidRPr="00000000">
              <w:rPr>
                <w:b w:val="1"/>
                <w:sz w:val="20"/>
                <w:szCs w:val="20"/>
                <w:rtl w:val="0"/>
              </w:rPr>
              <w:t xml:space="preserve">Demonstration of the ability to identify the purpose of a variety of text features of informational, narrative and graphic texts</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numPr>
                <w:ilvl w:val="0"/>
                <w:numId w:val="10"/>
              </w:numPr>
              <w:spacing w:line="240" w:lineRule="auto"/>
              <w:ind w:left="720" w:hanging="360"/>
              <w:contextualSpacing w:val="1"/>
              <w:rPr>
                <w:b w:val="1"/>
                <w:sz w:val="20"/>
                <w:szCs w:val="20"/>
              </w:rPr>
            </w:pPr>
            <w:r w:rsidDel="00000000" w:rsidR="00000000" w:rsidRPr="00000000">
              <w:rPr>
                <w:b w:val="1"/>
                <w:sz w:val="20"/>
                <w:szCs w:val="20"/>
                <w:rtl w:val="0"/>
              </w:rPr>
              <w:t xml:space="preserve">Demonstration of a personal response to a variety of texts, including informational, narrative and graphic</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numPr>
                <w:ilvl w:val="0"/>
                <w:numId w:val="12"/>
              </w:numPr>
              <w:spacing w:line="240" w:lineRule="auto"/>
              <w:ind w:left="720" w:hanging="360"/>
              <w:contextualSpacing w:val="1"/>
              <w:rPr>
                <w:b w:val="1"/>
                <w:sz w:val="20"/>
                <w:szCs w:val="20"/>
              </w:rPr>
            </w:pPr>
            <w:r w:rsidDel="00000000" w:rsidR="00000000" w:rsidRPr="00000000">
              <w:rPr>
                <w:b w:val="1"/>
                <w:sz w:val="20"/>
                <w:szCs w:val="20"/>
                <w:rtl w:val="0"/>
              </w:rPr>
              <w:t xml:space="preserve">Demonstration of the ability to identify the main ideas of a text and construct a written summary of a text</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720" w:hanging="360"/>
              <w:contextualSpacing w:val="1"/>
              <w:rPr>
                <w:b w:val="1"/>
                <w:sz w:val="20"/>
                <w:szCs w:val="20"/>
              </w:rPr>
            </w:pPr>
            <w:r w:rsidDel="00000000" w:rsidR="00000000" w:rsidRPr="00000000">
              <w:rPr>
                <w:b w:val="1"/>
                <w:sz w:val="20"/>
                <w:szCs w:val="20"/>
                <w:rtl w:val="0"/>
              </w:rPr>
              <w:t xml:space="preserve">Demonstration of the ability to identify the different parts of the organizational structure of a news report and construct a written news report for a specific audience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numPr>
                <w:ilvl w:val="0"/>
                <w:numId w:val="13"/>
              </w:numPr>
              <w:spacing w:line="240" w:lineRule="auto"/>
              <w:ind w:left="720" w:hanging="360"/>
              <w:contextualSpacing w:val="1"/>
              <w:rPr>
                <w:b w:val="1"/>
                <w:sz w:val="20"/>
                <w:szCs w:val="20"/>
              </w:rPr>
            </w:pPr>
            <w:r w:rsidDel="00000000" w:rsidR="00000000" w:rsidRPr="00000000">
              <w:rPr>
                <w:b w:val="1"/>
                <w:sz w:val="20"/>
                <w:szCs w:val="20"/>
                <w:rtl w:val="0"/>
              </w:rPr>
              <w:t xml:space="preserve">Demonstration of the ability to construct a series of paragraphs clearly stating an opinion by using an appropriate organizational structure (ie. an essay)</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720" w:hanging="360"/>
              <w:contextualSpacing w:val="1"/>
              <w:rPr>
                <w:b w:val="1"/>
                <w:sz w:val="20"/>
                <w:szCs w:val="20"/>
              </w:rPr>
            </w:pPr>
            <w:r w:rsidDel="00000000" w:rsidR="00000000" w:rsidRPr="00000000">
              <w:rPr>
                <w:b w:val="1"/>
                <w:sz w:val="20"/>
                <w:szCs w:val="20"/>
                <w:rtl w:val="0"/>
              </w:rPr>
              <w:t xml:space="preserve">Demonstration of the ability to reflect on personal learning regarding a variety of reading and writing strategies</w:t>
            </w: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OLC4OI Final Evaluation (30%)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975.0" w:type="dxa"/>
        <w:jc w:val="left"/>
        <w:tblInd w:w="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40"/>
        <w:gridCol w:w="5220"/>
        <w:gridCol w:w="1815"/>
        <w:tblGridChange w:id="0">
          <w:tblGrid>
            <w:gridCol w:w="2940"/>
            <w:gridCol w:w="5220"/>
            <w:gridCol w:w="1815"/>
          </w:tblGrid>
        </w:tblGridChange>
      </w:tblGrid>
      <w:tr>
        <w:trPr>
          <w:trHeight w:val="3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EL1, EL2, EL3, EL4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Reading Comprehension Assignment</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8%</w:t>
            </w:r>
          </w:p>
        </w:tc>
      </w:tr>
      <w:tr>
        <w:trPr>
          <w:trHeight w:val="3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EL1, EL5, EL6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Written Summary</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7%</w:t>
            </w:r>
          </w:p>
        </w:tc>
      </w:tr>
      <w:tr>
        <w:trPr>
          <w:trHeight w:val="3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EL5, EL6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Informal Personal Essay</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8%</w:t>
            </w:r>
          </w:p>
        </w:tc>
      </w:tr>
      <w:tr>
        <w:trPr>
          <w:trHeight w:val="3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EL7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Reflective Learning Journal</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7%</w:t>
            </w:r>
          </w:p>
        </w:tc>
      </w:tr>
    </w:tbl>
    <w:p w:rsidR="00000000" w:rsidDel="00000000" w:rsidP="00000000" w:rsidRDefault="00000000" w:rsidRPr="00000000">
      <w:pPr>
        <w:widowControl w:val="0"/>
        <w:contextualSpacing w:val="0"/>
      </w:pPr>
      <w:r w:rsidDel="00000000" w:rsidR="00000000" w:rsidRPr="00000000">
        <w:rPr>
          <w:b w:val="1"/>
          <w:rtl w:val="0"/>
        </w:rPr>
        <w:t xml:space="preserve">Please see school website for detailed School Assessment &amp; Evaluation Policy.</w:t>
      </w: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u w:val="single"/>
          <w:rtl w:val="0"/>
        </w:rPr>
        <w:t xml:space="preserve">Units of Study</w:t>
      </w:r>
      <w:r w:rsidDel="00000000" w:rsidR="00000000" w:rsidRPr="00000000">
        <w:rPr>
          <w:rtl w:val="0"/>
        </w:rPr>
        <w:t xml:space="preserve">:</w:t>
      </w:r>
    </w:p>
    <w:p w:rsidR="00000000" w:rsidDel="00000000" w:rsidP="00000000" w:rsidRDefault="00000000" w:rsidRPr="00000000">
      <w:pPr>
        <w:widowControl w:val="0"/>
        <w:contextualSpacing w:val="0"/>
      </w:pPr>
      <w:r w:rsidDel="00000000" w:rsidR="00000000" w:rsidRPr="00000000">
        <w:rPr>
          <w:rtl w:val="0"/>
        </w:rPr>
        <w:t xml:space="preserve">1. </w:t>
      </w:r>
      <w:r w:rsidDel="00000000" w:rsidR="00000000" w:rsidRPr="00000000">
        <w:rPr>
          <w:color w:val="231f20"/>
          <w:sz w:val="24"/>
          <w:szCs w:val="24"/>
          <w:rtl w:val="0"/>
        </w:rPr>
        <w:t xml:space="preserve">Reading Strategies – a variety of stories, essays and nonfiction articles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231f20"/>
          <w:sz w:val="24"/>
          <w:szCs w:val="24"/>
          <w:rtl w:val="0"/>
        </w:rPr>
        <w:t xml:space="preserve">2. Expressing an Opinion in Writing – a variety of essays and nonfiction articles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231f20"/>
          <w:sz w:val="24"/>
          <w:szCs w:val="24"/>
          <w:rtl w:val="0"/>
        </w:rPr>
        <w:t xml:space="preserve">3. The Summary – a variety of essays and nonfiction articles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231f20"/>
          <w:sz w:val="24"/>
          <w:szCs w:val="24"/>
          <w:rtl w:val="0"/>
        </w:rPr>
        <w:t xml:space="preserve">4. The News Report -- a variety of newspaper articles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231f20"/>
          <w:sz w:val="24"/>
          <w:szCs w:val="24"/>
          <w:rtl w:val="0"/>
        </w:rPr>
        <w:t xml:space="preserve">5. Summative Evaluation -- portfolio of reading and writing skills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color w:val="ffffff"/>
          <w:highlight w:val="black"/>
          <w:rtl w:val="0"/>
        </w:rPr>
        <w:t xml:space="preserve">Signatures</w:t>
      </w:r>
    </w:p>
    <w:p w:rsidR="00000000" w:rsidDel="00000000" w:rsidP="00000000" w:rsidRDefault="00000000" w:rsidRPr="00000000">
      <w:pPr>
        <w:spacing w:line="240" w:lineRule="auto"/>
        <w:contextualSpacing w:val="0"/>
        <w:jc w:val="center"/>
      </w:pPr>
      <w:r w:rsidDel="00000000" w:rsidR="00000000" w:rsidRPr="00000000">
        <w:rPr>
          <w:rtl w:val="0"/>
        </w:rPr>
        <w:t xml:space="preserve">OSSLC</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Please sign below indicating you have read and understood this course outline, including the requirements for successful completion of this course, and return this sheet to your teacher: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t xml:space="preserve">Student Name: _________________  </w:t>
      </w:r>
    </w:p>
    <w:p w:rsidR="00000000" w:rsidDel="00000000" w:rsidP="00000000" w:rsidRDefault="00000000" w:rsidRPr="00000000">
      <w:pPr>
        <w:spacing w:after="200" w:lineRule="auto"/>
        <w:contextualSpacing w:val="0"/>
      </w:pPr>
      <w:r w:rsidDel="00000000" w:rsidR="00000000" w:rsidRPr="00000000">
        <w:rPr>
          <w:rtl w:val="0"/>
        </w:rPr>
        <w:t xml:space="preserve">Student Signature: _________________ </w:t>
      </w:r>
    </w:p>
    <w:p w:rsidR="00000000" w:rsidDel="00000000" w:rsidP="00000000" w:rsidRDefault="00000000" w:rsidRPr="00000000">
      <w:pPr>
        <w:spacing w:after="200" w:lineRule="auto"/>
        <w:contextualSpacing w:val="0"/>
      </w:pPr>
      <w:r w:rsidDel="00000000" w:rsidR="00000000" w:rsidRPr="00000000">
        <w:rPr>
          <w:rtl w:val="0"/>
        </w:rPr>
        <w:t xml:space="preserve">Guardian/ Parent Name: ________________ </w:t>
      </w:r>
    </w:p>
    <w:p w:rsidR="00000000" w:rsidDel="00000000" w:rsidP="00000000" w:rsidRDefault="00000000" w:rsidRPr="00000000">
      <w:pPr>
        <w:spacing w:after="200" w:lineRule="auto"/>
        <w:contextualSpacing w:val="0"/>
      </w:pPr>
      <w:r w:rsidDel="00000000" w:rsidR="00000000" w:rsidRPr="00000000">
        <w:rPr>
          <w:rtl w:val="0"/>
        </w:rPr>
        <w:t xml:space="preserve">Guardian/ Parent Signature: ________________</w:t>
      </w:r>
    </w:p>
    <w:p w:rsidR="00000000" w:rsidDel="00000000" w:rsidP="00000000" w:rsidRDefault="00000000" w:rsidRPr="00000000">
      <w:pPr>
        <w:spacing w:after="200" w:lineRule="auto"/>
        <w:contextualSpacing w:val="0"/>
      </w:pPr>
      <w:r w:rsidDel="00000000" w:rsidR="00000000" w:rsidRPr="00000000">
        <w:rPr>
          <w:rtl w:val="0"/>
        </w:rPr>
        <w:t xml:space="preserve">Please indicate best method of communication:</w:t>
      </w:r>
    </w:p>
    <w:p w:rsidR="00000000" w:rsidDel="00000000" w:rsidP="00000000" w:rsidRDefault="00000000" w:rsidRPr="00000000">
      <w:pPr>
        <w:spacing w:after="200" w:lineRule="auto"/>
        <w:contextualSpacing w:val="0"/>
      </w:pPr>
      <w:r w:rsidDel="00000000" w:rsidR="00000000" w:rsidRPr="00000000">
        <w:rPr>
          <w:rtl w:val="0"/>
        </w:rPr>
        <w:t xml:space="preserve">Guardian/ Parent’s Phone #: __________________</w:t>
      </w:r>
    </w:p>
    <w:p w:rsidR="00000000" w:rsidDel="00000000" w:rsidP="00000000" w:rsidRDefault="00000000" w:rsidRPr="00000000">
      <w:pPr>
        <w:spacing w:after="200" w:lineRule="auto"/>
        <w:contextualSpacing w:val="0"/>
      </w:pPr>
      <w:r w:rsidDel="00000000" w:rsidR="00000000" w:rsidRPr="00000000">
        <w:rPr>
          <w:rtl w:val="0"/>
        </w:rPr>
        <w:t xml:space="preserve">Guardian/ Parent’s email: ____________________</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rtl w:val="0"/>
        </w:rPr>
        <w:t xml:space="preserve">Comments: </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embedRegular r:id="rId1" w:subsetted="0"/>
    <w:embedBold r:id="rId2" w:subsetted="0"/>
    <w:embedItalic r:id="rId3" w:subsetted="0"/>
    <w:embedBoldItalic r:id="rId4" w:subsetted="0"/>
  </w:font>
  <w:font w:name="Tahoma">
    <w:embedRegular r:id="rId5" w:subsetted="0"/>
    <w:embedBold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pPr>
    <w:r w:rsidDel="00000000" w:rsidR="00000000" w:rsidRPr="00000000">
      <w:rPr>
        <w:rFonts w:ascii="Calibri" w:cs="Calibri" w:eastAsia="Calibri" w:hAnsi="Calibri"/>
        <w:rtl w:val="0"/>
      </w:rPr>
      <w:t xml:space="preserve">                            </w:t>
    </w:r>
    <w:r w:rsidDel="00000000" w:rsidR="00000000" w:rsidRPr="00000000">
      <w:rPr>
        <w:rFonts w:ascii="Tahoma" w:cs="Tahoma" w:eastAsia="Tahoma" w:hAnsi="Tahoma"/>
        <w:b w:val="1"/>
        <w:sz w:val="32"/>
        <w:szCs w:val="32"/>
        <w:rtl w:val="0"/>
      </w:rPr>
      <w:t xml:space="preserve">Cameron Heights Collegiate Institute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-466724</wp:posOffset>
          </wp:positionH>
          <wp:positionV relativeFrom="paragraph">
            <wp:posOffset>152400</wp:posOffset>
          </wp:positionV>
          <wp:extent cx="997527" cy="733646"/>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997527" cy="733646"/>
                  </a:xfrm>
                  <a:prstGeom prst="rect"/>
                  <a:ln/>
                </pic:spPr>
              </pic:pic>
            </a:graphicData>
          </a:graphic>
        </wp:anchor>
      </w:drawing>
    </w:r>
  </w: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Calibri" w:cs="Calibri" w:eastAsia="Calibri" w:hAnsi="Calibri"/>
        <w:rtl w:val="0"/>
      </w:rPr>
      <w:t xml:space="preserve">                            </w:t>
    </w:r>
    <w:r w:rsidDel="00000000" w:rsidR="00000000" w:rsidRPr="00000000">
      <w:rPr>
        <w:rFonts w:ascii="Tahoma" w:cs="Tahoma" w:eastAsia="Tahoma" w:hAnsi="Tahoma"/>
        <w:sz w:val="20"/>
        <w:szCs w:val="20"/>
        <w:rtl w:val="0"/>
      </w:rPr>
      <w:t xml:space="preserve">301 Charles Street E., Kitchener, Ontario N2G 2P8 (519)-578-8330   </w:t>
    </w:r>
    <w:hyperlink r:id="rId2">
      <w:r w:rsidDel="00000000" w:rsidR="00000000" w:rsidRPr="00000000">
        <w:rPr>
          <w:rFonts w:ascii="Tahoma" w:cs="Tahoma" w:eastAsia="Tahoma" w:hAnsi="Tahoma"/>
          <w:color w:val="0000ff"/>
          <w:sz w:val="20"/>
          <w:szCs w:val="20"/>
          <w:u w:val="single"/>
          <w:rtl w:val="0"/>
        </w:rPr>
        <w:t xml:space="preserve">chc.wrdsb.ca</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 Id="rId5" Type="http://schemas.openxmlformats.org/officeDocument/2006/relationships/font" Target="fonts/Tahoma-regular.ttf"/><Relationship Id="rId6"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hyperlink" Target="http://www.chc.wrdsb.on.ca" TargetMode="External"/></Relationships>
</file>